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b/>
          <w:kern w:val="44"/>
          <w:sz w:val="30"/>
          <w:szCs w:val="30"/>
        </w:rPr>
      </w:pPr>
      <w:r>
        <w:rPr>
          <w:b/>
          <w:kern w:val="44"/>
          <w:sz w:val="30"/>
          <w:szCs w:val="30"/>
        </w:rPr>
        <w:t>其他需要说明的事项</w:t>
      </w:r>
    </w:p>
    <w:p>
      <w:pPr>
        <w:spacing w:line="360" w:lineRule="auto"/>
        <w:jc w:val="left"/>
        <w:rPr>
          <w:b/>
          <w:kern w:val="44"/>
          <w:sz w:val="28"/>
          <w:szCs w:val="28"/>
        </w:rPr>
      </w:pPr>
      <w:r>
        <w:rPr>
          <w:rFonts w:hint="eastAsia"/>
          <w:b/>
          <w:kern w:val="44"/>
          <w:sz w:val="28"/>
          <w:szCs w:val="28"/>
        </w:rPr>
        <w:t>一、</w:t>
      </w:r>
      <w:r>
        <w:rPr>
          <w:b/>
          <w:kern w:val="44"/>
          <w:sz w:val="28"/>
          <w:szCs w:val="28"/>
        </w:rPr>
        <w:t>环境保护设施设计、施工和验收过程简况</w:t>
      </w:r>
    </w:p>
    <w:p>
      <w:pPr>
        <w:spacing w:line="360" w:lineRule="auto"/>
        <w:ind w:firstLine="482" w:firstLineChars="200"/>
        <w:jc w:val="left"/>
        <w:rPr>
          <w:b/>
          <w:kern w:val="44"/>
          <w:sz w:val="24"/>
          <w:szCs w:val="24"/>
        </w:rPr>
      </w:pPr>
      <w:r>
        <w:rPr>
          <w:b/>
          <w:kern w:val="44"/>
          <w:sz w:val="24"/>
          <w:szCs w:val="24"/>
        </w:rPr>
        <w:t>1.1设计简况</w:t>
      </w:r>
    </w:p>
    <w:p>
      <w:pPr>
        <w:spacing w:line="360" w:lineRule="auto"/>
        <w:ind w:firstLine="480" w:firstLineChars="200"/>
        <w:jc w:val="left"/>
        <w:rPr>
          <w:kern w:val="44"/>
          <w:sz w:val="24"/>
          <w:szCs w:val="24"/>
        </w:rPr>
      </w:pPr>
      <w:r>
        <w:rPr>
          <w:rFonts w:hint="eastAsia"/>
          <w:bCs/>
          <w:sz w:val="24"/>
          <w:szCs w:val="24"/>
        </w:rPr>
        <w:t>宁波甬鄞石油有限公司姜山加油站</w:t>
      </w:r>
      <w:r>
        <w:rPr>
          <w:bCs/>
          <w:sz w:val="24"/>
          <w:szCs w:val="24"/>
        </w:rPr>
        <w:t>项目</w:t>
      </w:r>
      <w:r>
        <w:rPr>
          <w:kern w:val="44"/>
          <w:sz w:val="24"/>
          <w:szCs w:val="24"/>
        </w:rPr>
        <w:t>的初步设计中，已将工程有关的环境保护设施予以纳入。工程有关的环境保护设施设计严格按照国家相关的环境保护设计规范的要求进行设计。工程实际建设过程中落实了相关防止污染和生态破坏的措施以及工程环境保护措施投资概算。</w:t>
      </w:r>
    </w:p>
    <w:p>
      <w:pPr>
        <w:spacing w:line="360" w:lineRule="auto"/>
        <w:ind w:firstLine="482" w:firstLineChars="200"/>
        <w:jc w:val="left"/>
        <w:rPr>
          <w:b/>
          <w:kern w:val="44"/>
          <w:sz w:val="24"/>
          <w:szCs w:val="24"/>
        </w:rPr>
      </w:pPr>
      <w:r>
        <w:rPr>
          <w:b/>
          <w:kern w:val="44"/>
          <w:sz w:val="24"/>
          <w:szCs w:val="24"/>
        </w:rPr>
        <w:t>1.2施工简况</w:t>
      </w:r>
    </w:p>
    <w:p>
      <w:pPr>
        <w:spacing w:line="360" w:lineRule="auto"/>
        <w:ind w:firstLine="480" w:firstLineChars="200"/>
        <w:jc w:val="left"/>
        <w:rPr>
          <w:kern w:val="44"/>
          <w:sz w:val="24"/>
          <w:szCs w:val="24"/>
        </w:rPr>
      </w:pPr>
      <w:r>
        <w:rPr>
          <w:kern w:val="44"/>
          <w:sz w:val="24"/>
          <w:szCs w:val="24"/>
        </w:rPr>
        <w:t>工程建设过程中，将环境保护措施纳入施工合同；与工程有关的环境保护措施建设资金投入到位，并与主体工程做到同时设计、同时施工、同时投产使用。该工程建设过程中，组织实施了项目环境影响报告</w:t>
      </w:r>
      <w:r>
        <w:rPr>
          <w:rFonts w:hint="eastAsia"/>
          <w:kern w:val="44"/>
          <w:sz w:val="24"/>
          <w:szCs w:val="24"/>
        </w:rPr>
        <w:t>表</w:t>
      </w:r>
      <w:r>
        <w:rPr>
          <w:kern w:val="44"/>
          <w:sz w:val="24"/>
          <w:szCs w:val="24"/>
        </w:rPr>
        <w:t>中提出的环境保护对策措施要求。</w:t>
      </w:r>
    </w:p>
    <w:p>
      <w:pPr>
        <w:spacing w:line="360" w:lineRule="auto"/>
        <w:ind w:firstLine="482" w:firstLineChars="200"/>
        <w:jc w:val="left"/>
        <w:rPr>
          <w:b/>
          <w:kern w:val="44"/>
          <w:sz w:val="24"/>
          <w:szCs w:val="24"/>
        </w:rPr>
      </w:pPr>
      <w:r>
        <w:rPr>
          <w:b/>
          <w:kern w:val="44"/>
          <w:sz w:val="24"/>
          <w:szCs w:val="24"/>
        </w:rPr>
        <w:t>1.3验收工程简况</w:t>
      </w:r>
    </w:p>
    <w:p>
      <w:pPr>
        <w:spacing w:line="360" w:lineRule="auto"/>
        <w:ind w:firstLine="480" w:firstLineChars="200"/>
        <w:jc w:val="left"/>
        <w:rPr>
          <w:kern w:val="44"/>
          <w:sz w:val="24"/>
          <w:szCs w:val="24"/>
        </w:rPr>
      </w:pPr>
      <w:r>
        <w:rPr>
          <w:rFonts w:hint="eastAsia"/>
          <w:bCs/>
          <w:sz w:val="24"/>
          <w:szCs w:val="24"/>
        </w:rPr>
        <w:t>宁波甬鄞石油有限公司姜山加油站</w:t>
      </w:r>
      <w:r>
        <w:rPr>
          <w:bCs/>
          <w:sz w:val="24"/>
          <w:szCs w:val="24"/>
        </w:rPr>
        <w:t>项目</w:t>
      </w:r>
      <w:r>
        <w:rPr>
          <w:kern w:val="44"/>
          <w:sz w:val="24"/>
          <w:szCs w:val="24"/>
        </w:rPr>
        <w:t>于20</w:t>
      </w:r>
      <w:r>
        <w:rPr>
          <w:rFonts w:hint="eastAsia"/>
          <w:kern w:val="44"/>
          <w:sz w:val="24"/>
          <w:szCs w:val="24"/>
        </w:rPr>
        <w:t>19</w:t>
      </w:r>
      <w:r>
        <w:rPr>
          <w:kern w:val="44"/>
          <w:sz w:val="24"/>
          <w:szCs w:val="24"/>
        </w:rPr>
        <w:t>年</w:t>
      </w:r>
      <w:r>
        <w:rPr>
          <w:rFonts w:hint="eastAsia"/>
          <w:kern w:val="44"/>
          <w:sz w:val="24"/>
          <w:szCs w:val="24"/>
        </w:rPr>
        <w:t>12</w:t>
      </w:r>
      <w:r>
        <w:rPr>
          <w:kern w:val="44"/>
          <w:sz w:val="24"/>
          <w:szCs w:val="24"/>
        </w:rPr>
        <w:t>月</w:t>
      </w:r>
      <w:r>
        <w:rPr>
          <w:rFonts w:hint="eastAsia"/>
          <w:kern w:val="44"/>
          <w:sz w:val="24"/>
          <w:szCs w:val="24"/>
          <w:lang w:val="en-US" w:eastAsia="zh-CN"/>
        </w:rPr>
        <w:t>建成</w:t>
      </w:r>
      <w:r>
        <w:rPr>
          <w:kern w:val="44"/>
          <w:sz w:val="24"/>
          <w:szCs w:val="24"/>
        </w:rPr>
        <w:t>调试。竣工环境保护工作于201</w:t>
      </w:r>
      <w:r>
        <w:rPr>
          <w:rFonts w:hint="eastAsia"/>
          <w:kern w:val="44"/>
          <w:sz w:val="24"/>
          <w:szCs w:val="24"/>
        </w:rPr>
        <w:t>9</w:t>
      </w:r>
      <w:r>
        <w:rPr>
          <w:kern w:val="44"/>
          <w:sz w:val="24"/>
          <w:szCs w:val="24"/>
        </w:rPr>
        <w:t>年</w:t>
      </w:r>
      <w:r>
        <w:rPr>
          <w:rFonts w:hint="eastAsia"/>
          <w:kern w:val="44"/>
          <w:sz w:val="24"/>
          <w:szCs w:val="24"/>
        </w:rPr>
        <w:t>12</w:t>
      </w:r>
      <w:r>
        <w:rPr>
          <w:kern w:val="44"/>
          <w:sz w:val="24"/>
          <w:szCs w:val="24"/>
        </w:rPr>
        <w:t>月启动，工程竣工环保验收监测委托浙江清盛检测技术有限公司进行。</w:t>
      </w:r>
    </w:p>
    <w:p>
      <w:pPr>
        <w:spacing w:line="360" w:lineRule="auto"/>
        <w:ind w:firstLine="480" w:firstLineChars="200"/>
        <w:jc w:val="left"/>
        <w:rPr>
          <w:rFonts w:ascii="宋体" w:hAnsi="宋体"/>
          <w:kern w:val="44"/>
          <w:sz w:val="24"/>
          <w:szCs w:val="24"/>
        </w:rPr>
      </w:pPr>
      <w:r>
        <w:rPr>
          <w:kern w:val="44"/>
          <w:sz w:val="24"/>
          <w:szCs w:val="24"/>
        </w:rPr>
        <w:t>该公司拥有浙江省质量技术监督局下发的检验检测机构资质证书，检测委托合同约定浙江清盛检测技术有限公司为</w:t>
      </w:r>
      <w:r>
        <w:rPr>
          <w:rFonts w:hint="eastAsia"/>
          <w:bCs/>
          <w:sz w:val="24"/>
          <w:szCs w:val="24"/>
        </w:rPr>
        <w:t>宁波甬鄞石油有限公司姜山加油站</w:t>
      </w:r>
      <w:r>
        <w:rPr>
          <w:kern w:val="44"/>
          <w:sz w:val="24"/>
          <w:szCs w:val="24"/>
        </w:rPr>
        <w:t>提供废气、废水、噪声等项目的监测服务，出具真实的监测数据和编制监测报告，该工程竣工验收监测报告于20</w:t>
      </w:r>
      <w:r>
        <w:rPr>
          <w:rFonts w:hint="eastAsia"/>
          <w:kern w:val="44"/>
          <w:sz w:val="24"/>
          <w:szCs w:val="24"/>
        </w:rPr>
        <w:t>20</w:t>
      </w:r>
      <w:r>
        <w:rPr>
          <w:kern w:val="44"/>
          <w:sz w:val="24"/>
          <w:szCs w:val="24"/>
        </w:rPr>
        <w:t>年</w:t>
      </w:r>
      <w:r>
        <w:rPr>
          <w:rFonts w:hint="eastAsia"/>
          <w:kern w:val="44"/>
          <w:sz w:val="24"/>
          <w:szCs w:val="24"/>
        </w:rPr>
        <w:t>3</w:t>
      </w:r>
      <w:r>
        <w:rPr>
          <w:kern w:val="44"/>
          <w:sz w:val="24"/>
          <w:szCs w:val="24"/>
        </w:rPr>
        <w:t>月完成。20</w:t>
      </w:r>
      <w:r>
        <w:rPr>
          <w:rFonts w:hint="eastAsia"/>
          <w:kern w:val="44"/>
          <w:sz w:val="24"/>
          <w:szCs w:val="24"/>
        </w:rPr>
        <w:t>20</w:t>
      </w:r>
      <w:r>
        <w:rPr>
          <w:kern w:val="44"/>
          <w:sz w:val="24"/>
          <w:szCs w:val="24"/>
        </w:rPr>
        <w:t>年</w:t>
      </w:r>
      <w:r>
        <w:rPr>
          <w:rFonts w:hint="eastAsia"/>
          <w:kern w:val="44"/>
          <w:sz w:val="24"/>
          <w:szCs w:val="24"/>
          <w:lang w:val="en-US" w:eastAsia="zh-CN"/>
        </w:rPr>
        <w:t>4</w:t>
      </w:r>
      <w:r>
        <w:rPr>
          <w:kern w:val="44"/>
          <w:sz w:val="24"/>
          <w:szCs w:val="24"/>
        </w:rPr>
        <w:t>月</w:t>
      </w:r>
      <w:r>
        <w:rPr>
          <w:rFonts w:hint="eastAsia"/>
          <w:kern w:val="44"/>
          <w:sz w:val="24"/>
          <w:szCs w:val="24"/>
          <w:lang w:val="en-US" w:eastAsia="zh-CN"/>
        </w:rPr>
        <w:t>1</w:t>
      </w:r>
      <w:r>
        <w:rPr>
          <w:kern w:val="44"/>
          <w:sz w:val="24"/>
          <w:szCs w:val="24"/>
        </w:rPr>
        <w:t>日，由</w:t>
      </w:r>
      <w:r>
        <w:rPr>
          <w:rFonts w:hint="eastAsia"/>
          <w:bCs/>
          <w:sz w:val="24"/>
          <w:szCs w:val="24"/>
        </w:rPr>
        <w:t>宁波甬鄞石油有限公司姜山加油站</w:t>
      </w:r>
      <w:r>
        <w:rPr>
          <w:kern w:val="44"/>
          <w:sz w:val="24"/>
          <w:szCs w:val="24"/>
        </w:rPr>
        <w:t>成立验收工作组在公司现场对工程进行竣工环保验收，验收工作组经过认真讨论，形成的验收意见结论如下：</w:t>
      </w:r>
      <w:r>
        <w:rPr>
          <w:rFonts w:ascii="宋体" w:hAnsi="宋体"/>
          <w:kern w:val="44"/>
          <w:sz w:val="24"/>
          <w:szCs w:val="24"/>
        </w:rPr>
        <w:t>“</w:t>
      </w:r>
      <w:r>
        <w:rPr>
          <w:kern w:val="44"/>
          <w:sz w:val="24"/>
          <w:szCs w:val="24"/>
        </w:rPr>
        <w:t>经现场查验，</w:t>
      </w:r>
      <w:r>
        <w:rPr>
          <w:rFonts w:hint="eastAsia"/>
          <w:bCs/>
          <w:sz w:val="24"/>
          <w:szCs w:val="24"/>
        </w:rPr>
        <w:t>宁波甬鄞石油有限公司姜山加油站</w:t>
      </w:r>
      <w:r>
        <w:rPr>
          <w:bCs/>
          <w:sz w:val="24"/>
          <w:szCs w:val="24"/>
        </w:rPr>
        <w:t>项目</w:t>
      </w:r>
      <w:r>
        <w:rPr>
          <w:kern w:val="44"/>
          <w:sz w:val="24"/>
          <w:szCs w:val="24"/>
        </w:rPr>
        <w:t>环保手续齐备，主体工程和配套环保工程建设基本完备，项目建设内容与环</w:t>
      </w:r>
      <w:r>
        <w:rPr>
          <w:rFonts w:hint="eastAsia"/>
          <w:kern w:val="44"/>
          <w:sz w:val="24"/>
          <w:szCs w:val="24"/>
        </w:rPr>
        <w:t>境</w:t>
      </w:r>
      <w:r>
        <w:rPr>
          <w:kern w:val="44"/>
          <w:sz w:val="24"/>
          <w:szCs w:val="24"/>
        </w:rPr>
        <w:t>影响报告</w:t>
      </w:r>
      <w:r>
        <w:rPr>
          <w:rFonts w:hint="eastAsia"/>
          <w:kern w:val="44"/>
          <w:sz w:val="24"/>
          <w:szCs w:val="24"/>
        </w:rPr>
        <w:t>表</w:t>
      </w:r>
      <w:r>
        <w:rPr>
          <w:kern w:val="44"/>
          <w:sz w:val="24"/>
          <w:szCs w:val="24"/>
        </w:rPr>
        <w:t>基本一致，已基本落实了环</w:t>
      </w:r>
      <w:r>
        <w:rPr>
          <w:rFonts w:hint="eastAsia"/>
          <w:kern w:val="44"/>
          <w:sz w:val="24"/>
          <w:szCs w:val="24"/>
        </w:rPr>
        <w:t>境</w:t>
      </w:r>
      <w:r>
        <w:rPr>
          <w:kern w:val="44"/>
          <w:sz w:val="24"/>
          <w:szCs w:val="24"/>
        </w:rPr>
        <w:t>影响报告</w:t>
      </w:r>
      <w:r>
        <w:rPr>
          <w:rFonts w:hint="eastAsia"/>
          <w:kern w:val="44"/>
          <w:sz w:val="24"/>
          <w:szCs w:val="24"/>
        </w:rPr>
        <w:t>表</w:t>
      </w:r>
      <w:r>
        <w:rPr>
          <w:kern w:val="44"/>
          <w:sz w:val="24"/>
          <w:szCs w:val="24"/>
        </w:rPr>
        <w:t>中各项环保要求，项目做到了环保</w:t>
      </w:r>
      <w:r>
        <w:rPr>
          <w:rFonts w:ascii="宋体" w:hAnsi="宋体"/>
          <w:kern w:val="44"/>
          <w:sz w:val="24"/>
          <w:szCs w:val="24"/>
        </w:rPr>
        <w:t>“三同时”</w:t>
      </w:r>
      <w:r>
        <w:rPr>
          <w:kern w:val="44"/>
          <w:sz w:val="24"/>
          <w:szCs w:val="24"/>
        </w:rPr>
        <w:t>并实现污染物达标排放，竣工环保验收条件具备，验收工作组同意通过该项目竣工环境保护验收。</w:t>
      </w:r>
      <w:r>
        <w:rPr>
          <w:rFonts w:ascii="宋体" w:hAnsi="宋体"/>
          <w:kern w:val="44"/>
          <w:sz w:val="24"/>
          <w:szCs w:val="24"/>
        </w:rPr>
        <w:t>”</w:t>
      </w:r>
    </w:p>
    <w:p>
      <w:pPr>
        <w:spacing w:line="360" w:lineRule="auto"/>
        <w:ind w:firstLine="482" w:firstLineChars="200"/>
        <w:jc w:val="left"/>
        <w:rPr>
          <w:b/>
          <w:kern w:val="44"/>
          <w:sz w:val="24"/>
          <w:szCs w:val="24"/>
        </w:rPr>
      </w:pPr>
      <w:r>
        <w:rPr>
          <w:b/>
          <w:kern w:val="44"/>
          <w:sz w:val="24"/>
          <w:szCs w:val="24"/>
        </w:rPr>
        <w:t>1.4公众反馈意见及处理情况</w:t>
      </w:r>
    </w:p>
    <w:p>
      <w:pPr>
        <w:spacing w:line="360" w:lineRule="auto"/>
        <w:ind w:firstLine="480" w:firstLineChars="200"/>
        <w:jc w:val="left"/>
        <w:rPr>
          <w:kern w:val="44"/>
          <w:sz w:val="24"/>
          <w:szCs w:val="24"/>
        </w:rPr>
      </w:pPr>
      <w:r>
        <w:rPr>
          <w:kern w:val="44"/>
          <w:sz w:val="24"/>
          <w:szCs w:val="24"/>
        </w:rPr>
        <w:t>本项目设计、施工和验收期间未收到过</w:t>
      </w:r>
      <w:r>
        <w:rPr>
          <w:sz w:val="24"/>
          <w:szCs w:val="24"/>
        </w:rPr>
        <w:t>公众反馈意见或投诉、反馈</w:t>
      </w:r>
    </w:p>
    <w:p>
      <w:pPr>
        <w:spacing w:line="360" w:lineRule="auto"/>
        <w:jc w:val="left"/>
        <w:rPr>
          <w:b/>
          <w:kern w:val="44"/>
          <w:sz w:val="28"/>
          <w:szCs w:val="28"/>
        </w:rPr>
      </w:pPr>
      <w:r>
        <w:rPr>
          <w:b/>
          <w:kern w:val="44"/>
          <w:sz w:val="28"/>
          <w:szCs w:val="28"/>
        </w:rPr>
        <w:t>二</w:t>
      </w:r>
      <w:r>
        <w:rPr>
          <w:rFonts w:hint="eastAsia"/>
          <w:b/>
          <w:kern w:val="44"/>
          <w:sz w:val="28"/>
          <w:szCs w:val="28"/>
        </w:rPr>
        <w:t>、</w:t>
      </w:r>
      <w:r>
        <w:rPr>
          <w:b/>
          <w:kern w:val="44"/>
          <w:sz w:val="28"/>
          <w:szCs w:val="28"/>
        </w:rPr>
        <w:t>其他环境保护措施的实施情况</w:t>
      </w:r>
    </w:p>
    <w:p>
      <w:pPr>
        <w:spacing w:line="360" w:lineRule="auto"/>
        <w:ind w:firstLine="482" w:firstLineChars="200"/>
        <w:jc w:val="left"/>
        <w:rPr>
          <w:b/>
          <w:kern w:val="44"/>
          <w:sz w:val="24"/>
          <w:szCs w:val="24"/>
        </w:rPr>
      </w:pPr>
      <w:r>
        <w:rPr>
          <w:b/>
          <w:kern w:val="44"/>
          <w:sz w:val="24"/>
          <w:szCs w:val="24"/>
        </w:rPr>
        <w:t>2.1制度措施落实情况</w:t>
      </w:r>
    </w:p>
    <w:p>
      <w:pPr>
        <w:spacing w:line="360" w:lineRule="auto"/>
        <w:ind w:firstLine="480" w:firstLineChars="200"/>
        <w:jc w:val="left"/>
        <w:rPr>
          <w:kern w:val="44"/>
          <w:sz w:val="24"/>
          <w:szCs w:val="24"/>
        </w:rPr>
      </w:pPr>
      <w:r>
        <w:rPr>
          <w:kern w:val="44"/>
          <w:sz w:val="24"/>
          <w:szCs w:val="24"/>
        </w:rPr>
        <w:t>（1）环境风险防范措施</w:t>
      </w:r>
    </w:p>
    <w:p>
      <w:pPr>
        <w:pStyle w:val="5"/>
        <w:spacing w:line="440" w:lineRule="exact"/>
      </w:pPr>
      <w:r>
        <w:rPr>
          <w:rFonts w:hint="eastAsia"/>
        </w:rPr>
        <w:t>本项目已编制完成突发环境事件应急预案，各项环境风险防范措施已基本落实。</w:t>
      </w:r>
    </w:p>
    <w:p>
      <w:pPr>
        <w:spacing w:line="360" w:lineRule="auto"/>
        <w:ind w:firstLine="480" w:firstLineChars="200"/>
        <w:jc w:val="left"/>
        <w:rPr>
          <w:kern w:val="44"/>
          <w:sz w:val="24"/>
          <w:szCs w:val="24"/>
        </w:rPr>
      </w:pPr>
      <w:r>
        <w:rPr>
          <w:kern w:val="44"/>
          <w:sz w:val="24"/>
          <w:szCs w:val="24"/>
        </w:rPr>
        <w:t>（2）环境监测计划</w:t>
      </w:r>
    </w:p>
    <w:p>
      <w:pPr>
        <w:spacing w:line="360" w:lineRule="auto"/>
        <w:ind w:firstLine="480" w:firstLineChars="200"/>
        <w:jc w:val="left"/>
        <w:rPr>
          <w:kern w:val="44"/>
          <w:sz w:val="24"/>
          <w:szCs w:val="24"/>
        </w:rPr>
      </w:pPr>
      <w:r>
        <w:rPr>
          <w:kern w:val="44"/>
          <w:sz w:val="24"/>
          <w:szCs w:val="24"/>
        </w:rPr>
        <w:t>本建设项目环境影响报告</w:t>
      </w:r>
      <w:r>
        <w:rPr>
          <w:rFonts w:hint="eastAsia"/>
          <w:kern w:val="44"/>
          <w:sz w:val="24"/>
          <w:szCs w:val="24"/>
        </w:rPr>
        <w:t>表</w:t>
      </w:r>
      <w:r>
        <w:rPr>
          <w:kern w:val="44"/>
          <w:sz w:val="24"/>
          <w:szCs w:val="24"/>
        </w:rPr>
        <w:t>及其审批部门审批决定未提出环境监测计划要求。</w:t>
      </w:r>
    </w:p>
    <w:p>
      <w:pPr>
        <w:spacing w:line="360" w:lineRule="auto"/>
        <w:ind w:left="479" w:leftChars="228"/>
        <w:jc w:val="left"/>
        <w:rPr>
          <w:b/>
          <w:bCs/>
          <w:kern w:val="44"/>
          <w:sz w:val="24"/>
          <w:szCs w:val="24"/>
        </w:rPr>
      </w:pPr>
      <w:r>
        <w:rPr>
          <w:b/>
          <w:bCs/>
          <w:kern w:val="44"/>
          <w:sz w:val="24"/>
          <w:szCs w:val="24"/>
        </w:rPr>
        <w:t>2.2配套措施落实情况</w:t>
      </w:r>
    </w:p>
    <w:p>
      <w:pPr>
        <w:spacing w:line="360" w:lineRule="auto"/>
        <w:ind w:firstLine="480" w:firstLineChars="200"/>
        <w:jc w:val="left"/>
        <w:rPr>
          <w:kern w:val="44"/>
          <w:sz w:val="24"/>
          <w:szCs w:val="24"/>
        </w:rPr>
      </w:pPr>
      <w:r>
        <w:rPr>
          <w:kern w:val="44"/>
          <w:sz w:val="24"/>
          <w:szCs w:val="24"/>
        </w:rPr>
        <w:t>（1）区域削减及淘汰落后产能</w:t>
      </w:r>
    </w:p>
    <w:p>
      <w:pPr>
        <w:spacing w:line="360" w:lineRule="auto"/>
        <w:ind w:firstLine="480" w:firstLineChars="200"/>
        <w:jc w:val="left"/>
        <w:rPr>
          <w:kern w:val="44"/>
          <w:sz w:val="24"/>
          <w:szCs w:val="24"/>
        </w:rPr>
      </w:pPr>
      <w:r>
        <w:rPr>
          <w:kern w:val="44"/>
          <w:sz w:val="24"/>
          <w:szCs w:val="24"/>
        </w:rPr>
        <w:t>本项目不涉及区域内削减污染物总量措施和淘汰落后产能的措施。</w:t>
      </w:r>
    </w:p>
    <w:p>
      <w:pPr>
        <w:spacing w:line="360" w:lineRule="auto"/>
        <w:ind w:firstLine="480" w:firstLineChars="200"/>
        <w:jc w:val="left"/>
        <w:rPr>
          <w:kern w:val="44"/>
          <w:sz w:val="24"/>
          <w:szCs w:val="24"/>
        </w:rPr>
      </w:pPr>
      <w:r>
        <w:rPr>
          <w:kern w:val="44"/>
          <w:sz w:val="24"/>
          <w:szCs w:val="24"/>
        </w:rPr>
        <w:t>（2）防护距离控制及居民搬迁</w:t>
      </w:r>
    </w:p>
    <w:p>
      <w:pPr>
        <w:spacing w:line="360" w:lineRule="auto"/>
        <w:ind w:firstLine="480" w:firstLineChars="200"/>
        <w:jc w:val="left"/>
        <w:rPr>
          <w:bCs/>
          <w:kern w:val="44"/>
          <w:sz w:val="24"/>
          <w:szCs w:val="24"/>
        </w:rPr>
      </w:pPr>
      <w:r>
        <w:rPr>
          <w:bCs/>
          <w:kern w:val="44"/>
          <w:sz w:val="24"/>
          <w:szCs w:val="24"/>
        </w:rPr>
        <w:t>本建设项目环境影响报告</w:t>
      </w:r>
      <w:r>
        <w:rPr>
          <w:rFonts w:hint="eastAsia"/>
          <w:bCs/>
          <w:kern w:val="44"/>
          <w:sz w:val="24"/>
          <w:szCs w:val="24"/>
        </w:rPr>
        <w:t>表</w:t>
      </w:r>
      <w:r>
        <w:rPr>
          <w:bCs/>
          <w:kern w:val="44"/>
          <w:sz w:val="24"/>
          <w:szCs w:val="24"/>
        </w:rPr>
        <w:t>及其审批部门审批决定未要求防护距离控制，无需进行居民搬迁。</w:t>
      </w:r>
    </w:p>
    <w:p>
      <w:pPr>
        <w:spacing w:line="360" w:lineRule="auto"/>
        <w:ind w:firstLine="482" w:firstLineChars="200"/>
        <w:jc w:val="left"/>
        <w:rPr>
          <w:b/>
          <w:kern w:val="44"/>
          <w:sz w:val="24"/>
          <w:szCs w:val="24"/>
        </w:rPr>
      </w:pPr>
      <w:r>
        <w:rPr>
          <w:b/>
          <w:kern w:val="44"/>
          <w:sz w:val="24"/>
          <w:szCs w:val="24"/>
        </w:rPr>
        <w:t>2.3其他措施落实措施</w:t>
      </w:r>
    </w:p>
    <w:p>
      <w:pPr>
        <w:spacing w:line="360" w:lineRule="auto"/>
        <w:ind w:firstLine="480" w:firstLineChars="200"/>
        <w:jc w:val="left"/>
        <w:rPr>
          <w:kern w:val="44"/>
          <w:sz w:val="24"/>
          <w:szCs w:val="24"/>
        </w:rPr>
      </w:pPr>
      <w:r>
        <w:rPr>
          <w:kern w:val="44"/>
          <w:sz w:val="24"/>
          <w:szCs w:val="24"/>
        </w:rPr>
        <w:t>本工程不涉及林地补偿、珍稀动植物保护、区域环境整治、相关外围工程建设情况等其他措施。</w:t>
      </w:r>
    </w:p>
    <w:p>
      <w:pPr>
        <w:spacing w:line="360" w:lineRule="auto"/>
        <w:jc w:val="left"/>
        <w:rPr>
          <w:b/>
          <w:kern w:val="44"/>
          <w:sz w:val="28"/>
          <w:szCs w:val="28"/>
        </w:rPr>
      </w:pPr>
      <w:r>
        <w:rPr>
          <w:rFonts w:hint="eastAsia"/>
          <w:b/>
          <w:kern w:val="44"/>
          <w:sz w:val="28"/>
          <w:szCs w:val="28"/>
        </w:rPr>
        <w:t>三、</w:t>
      </w:r>
      <w:r>
        <w:rPr>
          <w:b/>
          <w:kern w:val="44"/>
          <w:sz w:val="28"/>
          <w:szCs w:val="28"/>
        </w:rPr>
        <w:t>整改工作情况</w:t>
      </w:r>
    </w:p>
    <w:p>
      <w:pPr>
        <w:spacing w:line="360" w:lineRule="auto"/>
        <w:ind w:firstLine="480" w:firstLineChars="200"/>
        <w:jc w:val="left"/>
        <w:rPr>
          <w:kern w:val="44"/>
          <w:sz w:val="24"/>
          <w:szCs w:val="24"/>
        </w:rPr>
      </w:pPr>
      <w:r>
        <w:rPr>
          <w:kern w:val="44"/>
          <w:sz w:val="24"/>
          <w:szCs w:val="24"/>
        </w:rPr>
        <w:t>严格遵守环保法律法规，完善内部管理制度，规范废气治理设施的日常运行维护，</w:t>
      </w:r>
      <w:r>
        <w:rPr>
          <w:rFonts w:hint="eastAsia"/>
          <w:kern w:val="44"/>
          <w:sz w:val="24"/>
          <w:szCs w:val="24"/>
        </w:rPr>
        <w:t>确保</w:t>
      </w:r>
      <w:r>
        <w:rPr>
          <w:kern w:val="44"/>
          <w:sz w:val="24"/>
          <w:szCs w:val="24"/>
        </w:rPr>
        <w:t>各项污染物长期稳定达标排放。按规范将竣工验收的相关内容和结论进行公示、公开。</w:t>
      </w:r>
    </w:p>
    <w:p>
      <w:pPr>
        <w:widowControl/>
        <w:jc w:val="left"/>
        <w:rPr>
          <w:b/>
          <w:kern w:val="0"/>
          <w:sz w:val="24"/>
          <w:szCs w:val="24"/>
        </w:rPr>
      </w:pPr>
    </w:p>
    <w:p>
      <w:pPr>
        <w:widowControl/>
        <w:jc w:val="left"/>
        <w:rPr>
          <w:b/>
          <w:kern w:val="0"/>
          <w:sz w:val="24"/>
          <w:szCs w:val="24"/>
        </w:rPr>
      </w:pPr>
    </w:p>
    <w:p>
      <w:pPr>
        <w:widowControl/>
        <w:jc w:val="left"/>
        <w:rPr>
          <w:b/>
          <w:kern w:val="0"/>
          <w:sz w:val="24"/>
          <w:szCs w:val="24"/>
        </w:rPr>
      </w:pPr>
    </w:p>
    <w:p>
      <w:pPr>
        <w:spacing w:line="360" w:lineRule="auto"/>
        <w:jc w:val="right"/>
        <w:rPr>
          <w:color w:val="000000"/>
          <w:sz w:val="24"/>
          <w:szCs w:val="24"/>
        </w:rPr>
      </w:pPr>
      <w:r>
        <w:rPr>
          <w:rFonts w:hint="eastAsia"/>
          <w:bCs/>
          <w:sz w:val="24"/>
          <w:szCs w:val="24"/>
        </w:rPr>
        <w:t>宁波甬鄞石油有限公司姜山加油站</w:t>
      </w:r>
    </w:p>
    <w:p>
      <w:pPr>
        <w:spacing w:line="360" w:lineRule="auto"/>
        <w:jc w:val="right"/>
        <w:rPr>
          <w:sz w:val="24"/>
          <w:szCs w:val="24"/>
        </w:rPr>
      </w:pPr>
      <w:r>
        <w:rPr>
          <w:rFonts w:hint="eastAsia"/>
          <w:color w:val="000000"/>
          <w:sz w:val="24"/>
          <w:szCs w:val="24"/>
        </w:rPr>
        <w:t>2020年</w:t>
      </w:r>
      <w:r>
        <w:rPr>
          <w:rFonts w:hint="eastAsia"/>
          <w:color w:val="000000"/>
          <w:sz w:val="24"/>
          <w:szCs w:val="24"/>
          <w:lang w:val="en-US" w:eastAsia="zh-CN"/>
        </w:rPr>
        <w:t>4</w:t>
      </w:r>
      <w:r>
        <w:rPr>
          <w:rFonts w:hint="eastAsia"/>
          <w:color w:val="000000"/>
          <w:sz w:val="24"/>
          <w:szCs w:val="24"/>
        </w:rPr>
        <w:t>月</w:t>
      </w:r>
      <w:r>
        <w:rPr>
          <w:rFonts w:hint="eastAsia"/>
          <w:color w:val="000000"/>
          <w:sz w:val="24"/>
          <w:szCs w:val="24"/>
          <w:lang w:val="en-US" w:eastAsia="zh-CN"/>
        </w:rPr>
        <w:t>2</w:t>
      </w:r>
      <w:bookmarkStart w:id="0" w:name="_GoBack"/>
      <w:bookmarkEnd w:id="0"/>
      <w:r>
        <w:rPr>
          <w:rFonts w:hint="eastAsia"/>
          <w:color w:val="000000"/>
          <w:sz w:val="24"/>
          <w:szCs w:val="24"/>
        </w:rPr>
        <w:t>日</w:t>
      </w:r>
    </w:p>
    <w:p>
      <w:pPr>
        <w:tabs>
          <w:tab w:val="left" w:pos="3360"/>
        </w:tabs>
        <w:rPr>
          <w:sz w:val="24"/>
          <w:szCs w:val="28"/>
        </w:rPr>
      </w:pPr>
    </w:p>
    <w:p>
      <w:pPr>
        <w:pStyle w:val="2"/>
        <w:rPr>
          <w:b/>
          <w:kern w:val="0"/>
          <w:sz w:val="24"/>
          <w:szCs w:val="24"/>
        </w:rPr>
      </w:pPr>
    </w:p>
    <w:p/>
    <w:sectPr>
      <w:pgSz w:w="12240" w:h="15840"/>
      <w:pgMar w:top="1440" w:right="1800" w:bottom="1440" w:left="180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9337F"/>
    <w:rsid w:val="67B4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unhideWhenUsed/>
    <w:qFormat/>
    <w:uiPriority w:val="99"/>
    <w:pPr>
      <w:widowControl w:val="0"/>
      <w:jc w:val="both"/>
    </w:pPr>
    <w:rPr>
      <w:rFonts w:ascii="宋体" w:hAnsi="Courier New" w:eastAsia="宋体" w:cs="Times New Roman"/>
      <w:kern w:val="2"/>
      <w:sz w:val="21"/>
      <w:lang w:val="en-US" w:eastAsia="zh-CN" w:bidi="ar-SA"/>
    </w:rPr>
  </w:style>
  <w:style w:type="paragraph" w:customStyle="1" w:styleId="5">
    <w:name w:val="正"/>
    <w:qFormat/>
    <w:uiPriority w:val="0"/>
    <w:pPr>
      <w:widowControl w:val="0"/>
      <w:tabs>
        <w:tab w:val="left" w:pos="2595"/>
      </w:tabs>
      <w:spacing w:line="324" w:lineRule="auto"/>
      <w:ind w:firstLine="480" w:firstLineChars="200"/>
      <w:jc w:val="both"/>
    </w:pPr>
    <w:rPr>
      <w:rFonts w:ascii="TimesNewRomanPSMT" w:hAnsi="TimesNewRomanPSMT"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2020-04-15T05:53:22Z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